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9C" w:rsidRDefault="0054439C" w:rsidP="0054439C">
      <w:pPr>
        <w:shd w:val="clear" w:color="auto" w:fill="FFFFFF"/>
        <w:spacing w:after="0" w:line="240" w:lineRule="auto"/>
        <w:jc w:val="center"/>
        <w:outlineLvl w:val="0"/>
        <w:rPr>
          <w:rFonts w:ascii="Pragmatica" w:eastAsia="Times New Roman" w:hAnsi="Pragmatica" w:cs="Arial"/>
          <w:b/>
          <w:bCs/>
          <w:color w:val="292929"/>
          <w:kern w:val="36"/>
          <w:sz w:val="44"/>
          <w:szCs w:val="44"/>
          <w:lang w:eastAsia="ru-RU"/>
        </w:rPr>
      </w:pPr>
      <w:bookmarkStart w:id="0" w:name="_GoBack"/>
      <w:bookmarkEnd w:id="0"/>
      <w:r>
        <w:rPr>
          <w:rFonts w:ascii="Pragmatica" w:eastAsia="Times New Roman" w:hAnsi="Pragmatica" w:cs="Arial"/>
          <w:b/>
          <w:bCs/>
          <w:color w:val="292929"/>
          <w:kern w:val="36"/>
          <w:sz w:val="44"/>
          <w:szCs w:val="44"/>
          <w:lang w:eastAsia="ru-RU"/>
        </w:rPr>
        <w:t xml:space="preserve">Решение </w:t>
      </w:r>
      <w:r w:rsidRPr="0054439C">
        <w:rPr>
          <w:rFonts w:ascii="Pragmatica" w:eastAsia="Times New Roman" w:hAnsi="Pragmatica" w:cs="Arial"/>
          <w:b/>
          <w:bCs/>
          <w:color w:val="292929"/>
          <w:kern w:val="36"/>
          <w:sz w:val="44"/>
          <w:szCs w:val="44"/>
          <w:lang w:eastAsia="ru-RU"/>
        </w:rPr>
        <w:t>Совета ФПА РФ от 27.09.2013 г.</w:t>
      </w:r>
    </w:p>
    <w:p w:rsidR="0054439C" w:rsidRPr="0054439C" w:rsidRDefault="0054439C" w:rsidP="0054439C">
      <w:pPr>
        <w:shd w:val="clear" w:color="auto" w:fill="FFFFFF"/>
        <w:spacing w:after="0" w:line="240" w:lineRule="auto"/>
        <w:jc w:val="center"/>
        <w:outlineLvl w:val="0"/>
        <w:rPr>
          <w:rFonts w:ascii="Pragmatica" w:eastAsia="Times New Roman" w:hAnsi="Pragmatica" w:cs="Arial"/>
          <w:b/>
          <w:bCs/>
          <w:color w:val="292929"/>
          <w:kern w:val="36"/>
          <w:sz w:val="44"/>
          <w:szCs w:val="44"/>
          <w:lang w:eastAsia="ru-RU"/>
        </w:rPr>
      </w:pPr>
      <w:r w:rsidRPr="0054439C">
        <w:rPr>
          <w:rFonts w:ascii="Pragmatica" w:eastAsia="Times New Roman" w:hAnsi="Pragmatica" w:cs="Arial"/>
          <w:b/>
          <w:bCs/>
          <w:color w:val="292929"/>
          <w:kern w:val="36"/>
          <w:sz w:val="44"/>
          <w:szCs w:val="44"/>
          <w:lang w:eastAsia="ru-RU"/>
        </w:rPr>
        <w:t xml:space="preserve"> «О двойной защите»</w:t>
      </w:r>
    </w:p>
    <w:p w:rsidR="0054439C" w:rsidRPr="0054439C" w:rsidRDefault="0054439C" w:rsidP="0054439C">
      <w:pPr>
        <w:shd w:val="clear" w:color="auto" w:fill="FFFFFF"/>
        <w:spacing w:after="0" w:line="240" w:lineRule="auto"/>
        <w:textAlignment w:val="center"/>
        <w:rPr>
          <w:rFonts w:ascii="Pragmatica" w:eastAsia="Times New Roman" w:hAnsi="Pragmatica" w:cs="Arial"/>
          <w:color w:val="999999"/>
          <w:sz w:val="18"/>
          <w:szCs w:val="18"/>
          <w:lang w:eastAsia="ru-RU"/>
        </w:rPr>
      </w:pP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             </w:t>
      </w:r>
      <w:r w:rsidRPr="0054439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(в редакции решения Совета ФПА РФ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54439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от 28 ноября 2019 г.)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Федеральную палату адвокатов РФ от адвокатов адвокатских палат Ростовской и Челябинской областей, Хабаровского края, Кабардино-Балкарской Республики, Республики Северная Осетия – Алания и других субъектов Российской Федерации поступили сообщения с информацией об опасной тенденции, наметившейся в судебной практике, когда наряду с адвокатами, осуществляющими защиту по соглашению с доверителями, вопреки воле последних, судами дополнительно назначаются защитники в качестве дублеров (защитники-дублеры).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усматривается из сообщений, ходатайства подсудимых об отказе от назначенных защитников-дублеров суды не удовлетворяют, а за совершаемые в связи с этим протестные действия удаляют подсудимых из процесса, ограничивая тем их право на защиту и справедливое судебное разбирательство.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Защитники-дублеры в связи с отказом подсудимых от их помощи заявляют самоотводы от участия в судебных процессах, однако суды расценивают это как отказ от защиты и принуждают адвокатов к формальному исполнению профессиональных обязанностей. Несогласованные действия участников процесса порождают конфликты между защитниками-дублерами и защитниками, осуществляющими профессиональные обязанности на основании соглашения с доверителями.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 поступающей информации также участились случаи удаления из судебных процессов «неудобных» защитников, осуществляющих защиту по соглашению с доверителями, а завершать рассмотрение дел в таких случаях позволяет участие в процессе защитников-дублеров.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Ситуация с назначением защитников-дублеров в судах мотивируется, как правило, необходимостью обеспечения непрерывности судопроизводства по уголовным делам с участием большого количества защитников по соглашению, периодическая неявка которых ведет к срыву судебных заседаний, нередко - в целях преднамеренного затягивания судебных процессов.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 учетом изложенного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Совет Федеральной палаты адвокатов РФ, руководствуясь положениями законодательства об адвокатской деятельности и адвокатуре, требованиями уголовно-процессуального закона, а также правовой позицией Конституционного Суда Российской Федерации, содержащейся в его многочисленных определениях по вопросу участия защитника в уголовном судопроизводстве,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lang w:eastAsia="ru-RU"/>
        </w:rPr>
        <w:t xml:space="preserve">                                            </w:t>
      </w:r>
      <w:r w:rsidRPr="0054439C"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lang w:eastAsia="ru-RU"/>
        </w:rPr>
        <w:t>РЕШИЛ: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 Дать следующее разъяснение: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Отказ подсудимого от защитника-дублера в данной ситуации является обоснованным и исключающим вступление адвоката в дело в качестве защитника по назначению.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 указал Конституционный Суд Российской Федерации в Определении от 17 октября 2006 № 424-О, «предоставляя обвиняемому возможность отказаться от защитника на любой стадии производства по делу, уголовно-процессуальный закон, таким образом, гарантирует право данного участника уголовного судопроизводства на квалифицированную юридическую помощь защитника, исключая возможность принуждения лица к реализации его субъективного права вопреки его воле».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Неправомерность участия адвоката в процессе в качестве защитника–дублера по назначению подтверждается правовой позицией Конституционного Суда Российской Федерации, изложенной в его Определении от 08.02.2007 № 251-О-П: « …реализация права пользоваться помощью адвоката (защитника) на той или иной стадии уголовного судопроизводства не может быть поставлена в зависимость от усмотрения должностного лица или органа, в производстве которого находится уголовное дело, т.е. от решения, не основанного на перечисленных в уголовно-процессуальном законе обстоятельствах, предусматривающих обязательное участие защитника в уголовном судопроизводстве, в том числе по назначению».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Манипулирование правом на защиту, чем бы оно ни мотивировалось, недопустимо. 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Пленум Верховного Суда РФ в пункте 18 постано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вления от 30 июня 2015 г. № 29 «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 практике применения судами законодательства, обеспечивающего право на защи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ту в уголовном судопроизводстве»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указал, что суд может не признать право обвиняемого на защиту нарушенным в тех случаях,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участников, поскольку в силу статьи 17 (часть 3) Конституции РФ осуществление прав и свобод не должно нарушать права и свободы других лиц. 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Конституционный Суд РФ в пункте 5 Постановления от 17 июля 2019 г. № 28-П «По делу о проверке конституционности статей 50 и 52 Уголовно-процессуального кодекса Российской Федерации в связи с жалобой гражданина Ю.Ю. Кавалерова» признал, что подобная практика согласуется с интересами правосудия и направлена на реализацию предписаний статей 17 (часть 3) и 48 Конституции РФ в ситуации, когда подозреваемый, обвиняемый, его защитник по соглашению злоупотребляет правом на защиту и такое злоупотребление дезорганизует ход досудебного или судебного процесса, направлено на срыв производства по делу. Вместе с тем решение об отклонении отказа от защитника по назначению при участии в уголовном деле защитника по соглашению по мотивам злоупотребления правом на защиту должно быть обоснованным и мотивированным и само по себе не должно исключать возможности приглашенного защитника выполнить взятое на себя поручение. 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2. Рекомендовать органам адвокатских палат: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2.1. Предусмотреть в решениях советов об утверждении порядка оказания юридической помощи адвокатами, участвующими в качестве защитника в уголовном судопроизводстве по назначению, положение о том, что адвокат не вправе по назначению органов дознания, органов предварительного следствия или суда принимать участие в защите лиц против их воли, если интересы этих лиц в уголовном судопроизводстве защищают адвокаты на основании заключенных соглашений. </w:t>
      </w:r>
    </w:p>
    <w:p w:rsid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Участие в деле наряду с защитником по соглашению защитника по назначению допустимо лишь в том случае, если отклонение отказа от него следователь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(определение) с приведением конкретных фактических обстоятельств, свидетельствующих о дезорганизации хода досудебного или судебного процесса. 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Процессуальное решение лица или органа, осуществляющего производство по уголовному делу, которым отклонен заявленный отказ от защитника по назначению, не содержащее таких мотивировки и обоснования, а принятое в порядке дискреции с одной лишь ссылкой на ч. 2 ст. 52 УПК РФ, не может как явно не соответствующее требованиям ч. 4 ст. 7 УПК РФ и позиции Конституционного Суда РФ служить законным и достаточным основанием для дублирования защитой по назначению защиты по соглашению и вынуждает назначенного защитника устраниться от участия в деле в соответствии с абзацем 1 данного пункта настоящего решения.  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Нарушение этого положения рассматривать в качестве дисциплинарного проступка, влекущего дисциплинарную ответственность вплоть до прекращения статуса адвоката.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 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Когда участвующий в уголовном деле защитник по соглашению или по назначению в течение 5 суток, если иное не предусмотрено законом, не может принять участие в уголовном процессе, адвокат, назначенный защитником в соответствии со статьей 50 УПК РФ, обязан принять на себя защиту подсудимого.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2.2. Принципиально реагировать на сообщения судов (судей) в отношении защитников, которые без уважительных причин не являются в судебные заседания либо иным способом умышленно затягивают судебные процессы. Такие действия (бездействие) защитника в уголовном судопроизводстве подрывают честь и достоинство адвокатской профессии, умаляют престиж адвокатуры, а потому должны влечь строгую дисциплинарную ответственность виновных лиц.</w:t>
      </w:r>
    </w:p>
    <w:p w:rsidR="0054439C" w:rsidRPr="0054439C" w:rsidRDefault="0054439C" w:rsidP="0054439C">
      <w:pPr>
        <w:shd w:val="clear" w:color="auto" w:fill="FFFFFF"/>
        <w:spacing w:after="360"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    </w:t>
      </w:r>
      <w:r w:rsidRPr="0054439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3. Позицию Совета Федеральной палаты адвокатов РФ об отношении к назначению адвокатов в уголовном судопроизводстве в качестве защитников-дублеров довести до сведения адвокатов и судебных органов.</w:t>
      </w:r>
    </w:p>
    <w:p w:rsidR="0054439C" w:rsidRDefault="0054439C" w:rsidP="0054439C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С 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этой целью:</w:t>
      </w:r>
    </w:p>
    <w:p w:rsidR="0054439C" w:rsidRDefault="0054439C" w:rsidP="0054439C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- опубликовать настоящее решение в издании «Вестник Федеральной палаты адвокатов Российской Федерации» и разместить на официальном сайте Федеральной палаты адвокатов;</w:t>
      </w:r>
    </w:p>
    <w:p w:rsidR="0054439C" w:rsidRPr="0054439C" w:rsidRDefault="0054439C" w:rsidP="0054439C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54439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 xml:space="preserve">- направить копию настоящего решения в адвокатские палаты субъектов Российской Федерации и Председателю Верховного Суда Российской Федерации. </w:t>
      </w:r>
    </w:p>
    <w:p w:rsidR="0054439C" w:rsidRPr="0054439C" w:rsidRDefault="0054439C" w:rsidP="005443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386471" w:rsidRPr="0054439C" w:rsidRDefault="00386471" w:rsidP="005443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471" w:rsidRPr="005443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49" w:rsidRDefault="004A0549" w:rsidP="003133F3">
      <w:pPr>
        <w:spacing w:after="0" w:line="240" w:lineRule="auto"/>
      </w:pPr>
      <w:r>
        <w:separator/>
      </w:r>
    </w:p>
  </w:endnote>
  <w:endnote w:type="continuationSeparator" w:id="0">
    <w:p w:rsidR="004A0549" w:rsidRDefault="004A0549" w:rsidP="0031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4627"/>
      <w:docPartObj>
        <w:docPartGallery w:val="Page Numbers (Bottom of Page)"/>
        <w:docPartUnique/>
      </w:docPartObj>
    </w:sdtPr>
    <w:sdtEndPr/>
    <w:sdtContent>
      <w:p w:rsidR="003133F3" w:rsidRDefault="003133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49">
          <w:rPr>
            <w:noProof/>
          </w:rPr>
          <w:t>1</w:t>
        </w:r>
        <w:r>
          <w:fldChar w:fldCharType="end"/>
        </w:r>
      </w:p>
    </w:sdtContent>
  </w:sdt>
  <w:p w:rsidR="003133F3" w:rsidRDefault="003133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49" w:rsidRDefault="004A0549" w:rsidP="003133F3">
      <w:pPr>
        <w:spacing w:after="0" w:line="240" w:lineRule="auto"/>
      </w:pPr>
      <w:r>
        <w:separator/>
      </w:r>
    </w:p>
  </w:footnote>
  <w:footnote w:type="continuationSeparator" w:id="0">
    <w:p w:rsidR="004A0549" w:rsidRDefault="004A0549" w:rsidP="00313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C"/>
    <w:rsid w:val="003133F3"/>
    <w:rsid w:val="00386471"/>
    <w:rsid w:val="004A0549"/>
    <w:rsid w:val="004D6023"/>
    <w:rsid w:val="0054439C"/>
    <w:rsid w:val="006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3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3F3"/>
  </w:style>
  <w:style w:type="paragraph" w:styleId="a7">
    <w:name w:val="footer"/>
    <w:basedOn w:val="a"/>
    <w:link w:val="a8"/>
    <w:uiPriority w:val="99"/>
    <w:unhideWhenUsed/>
    <w:rsid w:val="0031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3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3F3"/>
  </w:style>
  <w:style w:type="paragraph" w:styleId="a7">
    <w:name w:val="footer"/>
    <w:basedOn w:val="a"/>
    <w:link w:val="a8"/>
    <w:uiPriority w:val="99"/>
    <w:unhideWhenUsed/>
    <w:rsid w:val="0031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78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CECED"/>
                                        <w:right w:val="none" w:sz="0" w:space="0" w:color="auto"/>
                                      </w:divBdr>
                                      <w:divsChild>
                                        <w:div w:id="101530938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11587">
                                              <w:marLeft w:val="0"/>
                                              <w:marRight w:val="48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88999">
                                      <w:marLeft w:val="0"/>
                                      <w:marRight w:val="0"/>
                                      <w:marTop w:val="0"/>
                                      <w:marBottom w:val="8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7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 Совета ФПА РФ от 27.09.2013 г.</vt:lpstr>
      <vt:lpstr>«О двойной защите»</vt:lpstr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2019-12-17T09:05:00Z</cp:lastPrinted>
  <dcterms:created xsi:type="dcterms:W3CDTF">2019-12-17T09:32:00Z</dcterms:created>
  <dcterms:modified xsi:type="dcterms:W3CDTF">2019-12-17T09:32:00Z</dcterms:modified>
</cp:coreProperties>
</file>