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7" w:rsidRDefault="00082907" w:rsidP="00082907">
      <w:pPr>
        <w:shd w:val="clear" w:color="auto" w:fill="FFFFFF"/>
        <w:spacing w:after="0" w:line="240" w:lineRule="auto"/>
        <w:jc w:val="both"/>
        <w:outlineLvl w:val="0"/>
        <w:rPr>
          <w:rFonts w:ascii="Times New Roman" w:eastAsia="Times New Roman" w:hAnsi="Times New Roman" w:cs="Times New Roman"/>
          <w:b/>
          <w:bCs/>
          <w:color w:val="292929"/>
          <w:kern w:val="36"/>
          <w:sz w:val="40"/>
          <w:szCs w:val="40"/>
          <w:lang w:eastAsia="ru-RU"/>
        </w:rPr>
      </w:pPr>
      <w:bookmarkStart w:id="0" w:name="_GoBack"/>
      <w:bookmarkEnd w:id="0"/>
      <w:r>
        <w:rPr>
          <w:rFonts w:ascii="Times New Roman" w:eastAsia="Times New Roman" w:hAnsi="Times New Roman" w:cs="Times New Roman"/>
          <w:b/>
          <w:bCs/>
          <w:color w:val="292929"/>
          <w:kern w:val="36"/>
          <w:sz w:val="40"/>
          <w:szCs w:val="40"/>
          <w:lang w:eastAsia="ru-RU"/>
        </w:rPr>
        <w:t xml:space="preserve">  </w:t>
      </w:r>
      <w:r w:rsidR="006B0125" w:rsidRPr="00082907">
        <w:rPr>
          <w:rFonts w:ascii="Times New Roman" w:eastAsia="Times New Roman" w:hAnsi="Times New Roman" w:cs="Times New Roman"/>
          <w:b/>
          <w:bCs/>
          <w:color w:val="292929"/>
          <w:kern w:val="36"/>
          <w:sz w:val="40"/>
          <w:szCs w:val="40"/>
          <w:lang w:eastAsia="ru-RU"/>
        </w:rPr>
        <w:t>Рекомендации Совета ФПА РФ об обеспечении</w:t>
      </w:r>
    </w:p>
    <w:p w:rsidR="006B0125" w:rsidRPr="00082907" w:rsidRDefault="00082907" w:rsidP="00082907">
      <w:pPr>
        <w:shd w:val="clear" w:color="auto" w:fill="FFFFFF"/>
        <w:spacing w:after="0" w:line="240" w:lineRule="auto"/>
        <w:jc w:val="both"/>
        <w:outlineLvl w:val="0"/>
        <w:rPr>
          <w:rFonts w:ascii="Times New Roman" w:eastAsia="Times New Roman" w:hAnsi="Times New Roman" w:cs="Times New Roman"/>
          <w:b/>
          <w:bCs/>
          <w:color w:val="292929"/>
          <w:kern w:val="36"/>
          <w:sz w:val="40"/>
          <w:szCs w:val="40"/>
          <w:lang w:eastAsia="ru-RU"/>
        </w:rPr>
      </w:pPr>
      <w:r>
        <w:rPr>
          <w:rFonts w:ascii="Times New Roman" w:eastAsia="Times New Roman" w:hAnsi="Times New Roman" w:cs="Times New Roman"/>
          <w:b/>
          <w:bCs/>
          <w:color w:val="292929"/>
          <w:kern w:val="36"/>
          <w:sz w:val="40"/>
          <w:szCs w:val="40"/>
          <w:lang w:eastAsia="ru-RU"/>
        </w:rPr>
        <w:t xml:space="preserve">     </w:t>
      </w:r>
      <w:r w:rsidR="006B0125" w:rsidRPr="00082907">
        <w:rPr>
          <w:rFonts w:ascii="Times New Roman" w:eastAsia="Times New Roman" w:hAnsi="Times New Roman" w:cs="Times New Roman"/>
          <w:b/>
          <w:bCs/>
          <w:color w:val="292929"/>
          <w:kern w:val="36"/>
          <w:sz w:val="40"/>
          <w:szCs w:val="40"/>
          <w:lang w:eastAsia="ru-RU"/>
        </w:rPr>
        <w:t xml:space="preserve"> непрерывности защиты по назначению</w:t>
      </w:r>
    </w:p>
    <w:p w:rsidR="006B0125" w:rsidRPr="00082907" w:rsidRDefault="006B0125" w:rsidP="00082907">
      <w:pPr>
        <w:shd w:val="clear" w:color="auto" w:fill="FFFFFF"/>
        <w:spacing w:after="0" w:line="240" w:lineRule="auto"/>
        <w:jc w:val="both"/>
        <w:textAlignment w:val="center"/>
        <w:rPr>
          <w:rFonts w:ascii="Times New Roman" w:eastAsia="Times New Roman" w:hAnsi="Times New Roman" w:cs="Times New Roman"/>
          <w:color w:val="999999"/>
          <w:sz w:val="28"/>
          <w:szCs w:val="28"/>
          <w:lang w:eastAsia="ru-RU"/>
        </w:rPr>
      </w:pP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b/>
          <w:bCs/>
          <w:color w:val="292929"/>
          <w:sz w:val="28"/>
          <w:szCs w:val="28"/>
          <w:lang w:eastAsia="ru-RU"/>
        </w:rPr>
        <w:t xml:space="preserve">Утверждены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b/>
          <w:bCs/>
          <w:color w:val="292929"/>
          <w:sz w:val="28"/>
          <w:szCs w:val="28"/>
          <w:lang w:eastAsia="ru-RU"/>
        </w:rPr>
        <w:t xml:space="preserve">Решением Совета ФПА РФ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b/>
          <w:bCs/>
          <w:color w:val="292929"/>
          <w:sz w:val="28"/>
          <w:szCs w:val="28"/>
          <w:lang w:eastAsia="ru-RU"/>
        </w:rPr>
        <w:t>от 28 ноября 2019 г.</w:t>
      </w:r>
      <w:r w:rsidRPr="00082907">
        <w:rPr>
          <w:rFonts w:ascii="Times New Roman" w:eastAsia="Times New Roman" w:hAnsi="Times New Roman" w:cs="Times New Roman"/>
          <w:color w:val="292929"/>
          <w:sz w:val="28"/>
          <w:szCs w:val="28"/>
          <w:lang w:eastAsia="ru-RU"/>
        </w:rPr>
        <w:t xml:space="preserve"> </w:t>
      </w:r>
    </w:p>
    <w:p w:rsidR="006B0125" w:rsidRPr="00082907" w:rsidRDefault="006B0125" w:rsidP="00082907">
      <w:pPr>
        <w:shd w:val="clear" w:color="auto" w:fill="FFFFFF"/>
        <w:spacing w:after="360" w:line="345" w:lineRule="atLeast"/>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  </w:t>
      </w:r>
    </w:p>
    <w:p w:rsidR="006B0125"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Совет Федеральной палаты адвокатов Российской Федерации, руководствуясь положениями законодательства об адвокатской деятельности и адвокатуре, требованиями уголовно-процессуального закона, а также правовой позицией Конституционного Суда Российской Федерации, содержащейся в его многочисленных определениях по вопросу участия защитника в уголовном судопроизводстве, </w:t>
      </w:r>
    </w:p>
    <w:p w:rsidR="00082907" w:rsidRPr="00082907" w:rsidRDefault="00082907"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6B0125" w:rsidRDefault="006B0125" w:rsidP="00082907">
      <w:pPr>
        <w:shd w:val="clear" w:color="auto" w:fill="FFFFFF"/>
        <w:spacing w:after="0" w:line="240" w:lineRule="auto"/>
        <w:jc w:val="both"/>
        <w:rPr>
          <w:rFonts w:ascii="Times New Roman" w:eastAsia="Times New Roman" w:hAnsi="Times New Roman" w:cs="Times New Roman"/>
          <w:b/>
          <w:bCs/>
          <w:color w:val="292929"/>
          <w:sz w:val="28"/>
          <w:szCs w:val="28"/>
          <w:lang w:eastAsia="ru-RU"/>
        </w:rPr>
      </w:pPr>
      <w:r w:rsidRPr="00082907">
        <w:rPr>
          <w:rFonts w:ascii="Times New Roman" w:eastAsia="Times New Roman" w:hAnsi="Times New Roman" w:cs="Times New Roman"/>
          <w:b/>
          <w:bCs/>
          <w:color w:val="292929"/>
          <w:sz w:val="28"/>
          <w:szCs w:val="28"/>
          <w:lang w:eastAsia="ru-RU"/>
        </w:rPr>
        <w:t xml:space="preserve">РЕШИЛ: </w:t>
      </w:r>
    </w:p>
    <w:p w:rsidR="00082907" w:rsidRPr="00082907" w:rsidRDefault="00082907"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6B0125"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Дать следующее разъяснение: </w:t>
      </w:r>
    </w:p>
    <w:p w:rsidR="00082907" w:rsidRPr="00082907" w:rsidRDefault="00082907"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1. Эффективная квалифицированная юридическая помощь при защите по уголовному делу подразумевает постоянное и системное оказание ее обвиняемому (подозреваемому) с учетом стадийного построения уголовного судопроизводства. В соответствии с п. 17 Стандарта осуществления защиты в уголовном судопроизводстве, принятого VIII Всероссийским съездом адвокатов 20 апреля 2017 г.,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Федеральной палаты адвокатов по этике и стандартам, утвержденными Советом Федеральной палаты адвокатов».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В соответствии с п. 8 ст. 10 Кодекса профессиональной этики адвоката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 </w:t>
      </w:r>
    </w:p>
    <w:p w:rsidR="006B0125"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Утвержденный Решением Совета ФПА РФ от 15 марта 2019 г. Порядок назначения адвокатов в качестве защитников в уголовном судопроизводстве основан на принципе непрерывности защиты, который, в частности, означает участие одного и того же адвоката в уголовном деле с момента назначения до полного исполнения принятых им на себя обязательств. </w:t>
      </w:r>
    </w:p>
    <w:p w:rsidR="00082907" w:rsidRPr="00082907" w:rsidRDefault="00082907"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2. Адвокат, принявший поручение по осуществлению защиты по назначению в досудебном производстве, в соответствии с п. 2 ст. 13 Кодекса </w:t>
      </w:r>
      <w:r w:rsidRPr="00082907">
        <w:rPr>
          <w:rFonts w:ascii="Times New Roman" w:eastAsia="Times New Roman" w:hAnsi="Times New Roman" w:cs="Times New Roman"/>
          <w:color w:val="292929"/>
          <w:sz w:val="28"/>
          <w:szCs w:val="28"/>
          <w:lang w:eastAsia="ru-RU"/>
        </w:rPr>
        <w:lastRenderedPageBreak/>
        <w:t>профессиональной этики адвоката, не вправе отказаться от защиты в суде первой инстанции, включая подготовку и подачу апелляционной жалобы на приговор суда. Адвокат вправе не подавать апелляционную жалобу в случае, если суд согласился с его требованиями или при наличии письменного заявления подзащитного об отказе от реализации права на подачу апелляционной жалобы адвокатом, как это предусмотрено п. 4 ст. 13 Кодекса профессиональной этики адвоката.</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3. Адвокат, принявший поручение по осуществлению защиты по назначению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в первой и апелляционной инстанциях (при избрании, изменении и продлении меры пресечения, мер процессуального принуждения, обжаловании действий (бездействия) и решений в порядке, предусмотренном ст. 125 УПК РФ, и др.).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Адвокат, осуществляющий защиту по назначению в суде первой инстанции, обязан участвовать также в суде апелляционной инстанции при обжаловании промежуточных судебных решений. </w:t>
      </w:r>
    </w:p>
    <w:p w:rsidR="006B0125"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Если Региональными правилами, принимаемыми палатами субъектов в соответствии с утвержденным ФПА Порядком назначения адвокатов в качестве защитников в уголовном судопроизводстве, не установлено иное, в случае рассмотрения апелляционной жалобы апелляционным судом общей юрисдикции, адвокат, осуществляющий защиту по назначению в суде первой инстанции, имеет приоритет в осуществлении защиты в апелляционной инстанции. Однако отсутствие его согласия на принятие такого поручения является уважительной причиной замены адвоката при рассмотрении дела апелляционным судом общей юрисдикции. </w:t>
      </w:r>
    </w:p>
    <w:p w:rsidR="00082907" w:rsidRPr="00082907" w:rsidRDefault="00082907"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4. Адвокат, принявший поручение по осуществлению защиты по назначению, обязан явиться к инициатору заявки, представить ордер и предъявить удостоверение, после чего выяснить, имеется ли у обвиняемого (подозреваемого, подсудимого) защитник по назначению или соглашению.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Если у обвиняемого имеется защитник по соглашению, то адвокат обязан удостовериться в его надлежащем уведомлении в установленный законом срок и потребовать копию процессуального решения, в котором надлежащим образом мотивировано назначение адвоката в порядке статей 50, 51 УПК РФ при наличии защитника по соглашению.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Недопустимо осуществление адвокатами защиты по назначению наряду с адвокатами, осуществляющими защиту тех же лиц на основании соглашения, за исключением случая, указанного в п. 18 Постановле</w:t>
      </w:r>
      <w:r w:rsidR="002864E8">
        <w:rPr>
          <w:rFonts w:ascii="Times New Roman" w:eastAsia="Times New Roman" w:hAnsi="Times New Roman" w:cs="Times New Roman"/>
          <w:color w:val="292929"/>
          <w:sz w:val="28"/>
          <w:szCs w:val="28"/>
          <w:lang w:eastAsia="ru-RU"/>
        </w:rPr>
        <w:t xml:space="preserve">ния Пленума Верховного Суда РФ </w:t>
      </w:r>
      <w:r w:rsidRPr="00082907">
        <w:rPr>
          <w:rFonts w:ascii="Times New Roman" w:eastAsia="Times New Roman" w:hAnsi="Times New Roman" w:cs="Times New Roman"/>
          <w:color w:val="292929"/>
          <w:sz w:val="28"/>
          <w:szCs w:val="28"/>
          <w:lang w:eastAsia="ru-RU"/>
        </w:rPr>
        <w:t xml:space="preserve"> от 30 июня 2015 г. № 29 «О практике применения судами законодательства, обеспечивающего право на защиту в уголовном судопроизводстве». Согласно данному разъяснению отказ от защитника по назначению при наличии у того же лица защитника по соглашению может быть не принят дознавателем, следователем или судом лишь тогда, когда процессуальное поведение защитника по соглашению, либо поведение подозреваемого, обвиняемого при реализации права на свободный выбор защитника, будучи явно недобросовестным, ущемляет конституционные права других участников судопроизводства. Следовательно, назначение или продолжение участия в деле защитника по назначению при наличии у того же лица защитника по соглашению не может рассматриваться как недопустимое дублирование функций защиты, нарушающее конституционное право подозреваемого, обвиняемого на свободный выбор защитника, только при условии, что процессуальное решение дознавателя, следователя или суда, которым отклонен заявленный отказ от защитника по назначению, не только вынесено в соответствии с требованиями закона, но и содержит указание именно на такое недобросовестное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Во всех прочих случаях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  </w:t>
      </w:r>
    </w:p>
    <w:p w:rsid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 </w:t>
      </w:r>
    </w:p>
    <w:p w:rsid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5. Адвокату, вступившему в уголовное дело в качестве защитника по назначению, для обеспечения в дальнейшем своего надлежащего участия в защите рекомендуется подать письменное заявление лицу, в производстве которого находится уголовное дело, об обязательном надлежащем уведомлении защитника обо всех планируемых следственных (судебных) и иных процессуальных действиях с участием обвиняемого (подозреваемого, подсудимого), а также любых иных действиях, затрагивающих права последнего.</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6. Освобождение адвоката от участия в уголовном деле в качестве защитника по назначению допускается исключительно в случаях, предусмотренных законом (принятие соответствующим должностным лицом в соответствии с требованиями закона мотивированного процессуального решения об отводе защитника при наличии законных оснований для этого, принятие отказа обвиняемого (подозреваемого) от защитника, вступление в дело адвоката по соглашению, ранее не принимавшего участия в деле, приостановление статуса адвоката и др.) и (или) разъяснениями Комиссии Федеральной палаты адвокатов по этике и стандартам, утвержденными Советом Федеральной палаты адвокатов Российской Федерации, а также при наличии иных уважительных причин (например, тяжелая продолжительная болезнь, препятствующая осуществлению профессиональных обязанностей, передача дела по подследственности или подсудности в иное территориальное образование и т.п.).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082907">
        <w:rPr>
          <w:rFonts w:ascii="Times New Roman" w:eastAsia="Times New Roman" w:hAnsi="Times New Roman" w:cs="Times New Roman"/>
          <w:color w:val="292929"/>
          <w:sz w:val="28"/>
          <w:szCs w:val="28"/>
          <w:lang w:eastAsia="ru-RU"/>
        </w:rPr>
        <w:t xml:space="preserve">  </w:t>
      </w: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6B0125" w:rsidRPr="00082907" w:rsidRDefault="006B0125" w:rsidP="00082907">
      <w:pPr>
        <w:shd w:val="clear" w:color="auto" w:fill="FFFFFF"/>
        <w:spacing w:after="0" w:line="240" w:lineRule="auto"/>
        <w:jc w:val="both"/>
        <w:rPr>
          <w:rFonts w:ascii="Times New Roman" w:eastAsia="Times New Roman" w:hAnsi="Times New Roman" w:cs="Times New Roman"/>
          <w:color w:val="4B4B4B"/>
          <w:sz w:val="28"/>
          <w:szCs w:val="28"/>
          <w:lang w:eastAsia="ru-RU"/>
        </w:rPr>
      </w:pPr>
    </w:p>
    <w:p w:rsidR="00504B3F" w:rsidRPr="00082907" w:rsidRDefault="00504B3F" w:rsidP="00082907">
      <w:pPr>
        <w:spacing w:after="0" w:line="240" w:lineRule="auto"/>
        <w:jc w:val="both"/>
        <w:rPr>
          <w:rFonts w:ascii="Times New Roman" w:hAnsi="Times New Roman" w:cs="Times New Roman"/>
          <w:sz w:val="28"/>
          <w:szCs w:val="28"/>
        </w:rPr>
      </w:pPr>
    </w:p>
    <w:p w:rsidR="00082907" w:rsidRPr="00082907" w:rsidRDefault="00082907" w:rsidP="00082907">
      <w:pPr>
        <w:spacing w:after="0" w:line="240" w:lineRule="auto"/>
        <w:jc w:val="both"/>
        <w:rPr>
          <w:rFonts w:ascii="Times New Roman" w:hAnsi="Times New Roman" w:cs="Times New Roman"/>
          <w:sz w:val="28"/>
          <w:szCs w:val="28"/>
        </w:rPr>
      </w:pPr>
    </w:p>
    <w:sectPr w:rsidR="00082907" w:rsidRPr="0008290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CF" w:rsidRDefault="00B554CF" w:rsidP="00E264C8">
      <w:pPr>
        <w:spacing w:after="0" w:line="240" w:lineRule="auto"/>
      </w:pPr>
      <w:r>
        <w:separator/>
      </w:r>
    </w:p>
  </w:endnote>
  <w:endnote w:type="continuationSeparator" w:id="0">
    <w:p w:rsidR="00B554CF" w:rsidRDefault="00B554CF" w:rsidP="00E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68376"/>
      <w:docPartObj>
        <w:docPartGallery w:val="Page Numbers (Bottom of Page)"/>
        <w:docPartUnique/>
      </w:docPartObj>
    </w:sdtPr>
    <w:sdtEndPr/>
    <w:sdtContent>
      <w:p w:rsidR="00E264C8" w:rsidRDefault="00E264C8">
        <w:pPr>
          <w:pStyle w:val="a5"/>
          <w:jc w:val="right"/>
        </w:pPr>
        <w:r>
          <w:fldChar w:fldCharType="begin"/>
        </w:r>
        <w:r>
          <w:instrText>PAGE   \* MERGEFORMAT</w:instrText>
        </w:r>
        <w:r>
          <w:fldChar w:fldCharType="separate"/>
        </w:r>
        <w:r w:rsidR="00B554CF">
          <w:rPr>
            <w:noProof/>
          </w:rPr>
          <w:t>1</w:t>
        </w:r>
        <w:r>
          <w:fldChar w:fldCharType="end"/>
        </w:r>
      </w:p>
    </w:sdtContent>
  </w:sdt>
  <w:p w:rsidR="00E264C8" w:rsidRDefault="00E26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CF" w:rsidRDefault="00B554CF" w:rsidP="00E264C8">
      <w:pPr>
        <w:spacing w:after="0" w:line="240" w:lineRule="auto"/>
      </w:pPr>
      <w:r>
        <w:separator/>
      </w:r>
    </w:p>
  </w:footnote>
  <w:footnote w:type="continuationSeparator" w:id="0">
    <w:p w:rsidR="00B554CF" w:rsidRDefault="00B554CF" w:rsidP="00E26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B53"/>
    <w:multiLevelType w:val="multilevel"/>
    <w:tmpl w:val="ECE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25"/>
    <w:rsid w:val="00082907"/>
    <w:rsid w:val="002864E8"/>
    <w:rsid w:val="00504B3F"/>
    <w:rsid w:val="006B0125"/>
    <w:rsid w:val="007F38A7"/>
    <w:rsid w:val="00B554CF"/>
    <w:rsid w:val="00E264C8"/>
    <w:rsid w:val="00ED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4C8"/>
  </w:style>
  <w:style w:type="paragraph" w:styleId="a5">
    <w:name w:val="footer"/>
    <w:basedOn w:val="a"/>
    <w:link w:val="a6"/>
    <w:uiPriority w:val="99"/>
    <w:unhideWhenUsed/>
    <w:rsid w:val="00E26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4C8"/>
  </w:style>
  <w:style w:type="paragraph" w:styleId="a5">
    <w:name w:val="footer"/>
    <w:basedOn w:val="a"/>
    <w:link w:val="a6"/>
    <w:uiPriority w:val="99"/>
    <w:unhideWhenUsed/>
    <w:rsid w:val="00E26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61384">
      <w:bodyDiv w:val="1"/>
      <w:marLeft w:val="0"/>
      <w:marRight w:val="0"/>
      <w:marTop w:val="0"/>
      <w:marBottom w:val="0"/>
      <w:divBdr>
        <w:top w:val="none" w:sz="0" w:space="0" w:color="auto"/>
        <w:left w:val="none" w:sz="0" w:space="0" w:color="auto"/>
        <w:bottom w:val="none" w:sz="0" w:space="0" w:color="auto"/>
        <w:right w:val="none" w:sz="0" w:space="0" w:color="auto"/>
      </w:divBdr>
      <w:divsChild>
        <w:div w:id="1113749181">
          <w:marLeft w:val="0"/>
          <w:marRight w:val="0"/>
          <w:marTop w:val="0"/>
          <w:marBottom w:val="0"/>
          <w:divBdr>
            <w:top w:val="none" w:sz="0" w:space="0" w:color="auto"/>
            <w:left w:val="none" w:sz="0" w:space="0" w:color="auto"/>
            <w:bottom w:val="none" w:sz="0" w:space="0" w:color="auto"/>
            <w:right w:val="none" w:sz="0" w:space="0" w:color="auto"/>
          </w:divBdr>
          <w:divsChild>
            <w:div w:id="1692534819">
              <w:marLeft w:val="0"/>
              <w:marRight w:val="0"/>
              <w:marTop w:val="0"/>
              <w:marBottom w:val="0"/>
              <w:divBdr>
                <w:top w:val="none" w:sz="0" w:space="0" w:color="auto"/>
                <w:left w:val="none" w:sz="0" w:space="0" w:color="auto"/>
                <w:bottom w:val="none" w:sz="0" w:space="0" w:color="auto"/>
                <w:right w:val="none" w:sz="0" w:space="0" w:color="auto"/>
              </w:divBdr>
              <w:divsChild>
                <w:div w:id="1787582556">
                  <w:marLeft w:val="300"/>
                  <w:marRight w:val="300"/>
                  <w:marTop w:val="0"/>
                  <w:marBottom w:val="0"/>
                  <w:divBdr>
                    <w:top w:val="none" w:sz="0" w:space="0" w:color="auto"/>
                    <w:left w:val="none" w:sz="0" w:space="0" w:color="auto"/>
                    <w:bottom w:val="none" w:sz="0" w:space="0" w:color="auto"/>
                    <w:right w:val="none" w:sz="0" w:space="0" w:color="auto"/>
                  </w:divBdr>
                  <w:divsChild>
                    <w:div w:id="986012868">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0"/>
                          <w:divBdr>
                            <w:top w:val="none" w:sz="0" w:space="0" w:color="auto"/>
                            <w:left w:val="none" w:sz="0" w:space="0" w:color="auto"/>
                            <w:bottom w:val="none" w:sz="0" w:space="0" w:color="auto"/>
                            <w:right w:val="none" w:sz="0" w:space="0" w:color="auto"/>
                          </w:divBdr>
                          <w:divsChild>
                            <w:div w:id="588656372">
                              <w:marLeft w:val="0"/>
                              <w:marRight w:val="0"/>
                              <w:marTop w:val="0"/>
                              <w:marBottom w:val="0"/>
                              <w:divBdr>
                                <w:top w:val="none" w:sz="0" w:space="0" w:color="auto"/>
                                <w:left w:val="none" w:sz="0" w:space="0" w:color="auto"/>
                                <w:bottom w:val="none" w:sz="0" w:space="0" w:color="auto"/>
                                <w:right w:val="none" w:sz="0" w:space="0" w:color="auto"/>
                              </w:divBdr>
                              <w:divsChild>
                                <w:div w:id="369113259">
                                  <w:marLeft w:val="0"/>
                                  <w:marRight w:val="0"/>
                                  <w:marTop w:val="0"/>
                                  <w:marBottom w:val="0"/>
                                  <w:divBdr>
                                    <w:top w:val="none" w:sz="0" w:space="0" w:color="auto"/>
                                    <w:left w:val="none" w:sz="0" w:space="0" w:color="auto"/>
                                    <w:bottom w:val="none" w:sz="0" w:space="0" w:color="auto"/>
                                    <w:right w:val="none" w:sz="0" w:space="0" w:color="auto"/>
                                  </w:divBdr>
                                  <w:divsChild>
                                    <w:div w:id="1594630454">
                                      <w:marLeft w:val="0"/>
                                      <w:marRight w:val="0"/>
                                      <w:marTop w:val="0"/>
                                      <w:marBottom w:val="0"/>
                                      <w:divBdr>
                                        <w:top w:val="none" w:sz="0" w:space="0" w:color="auto"/>
                                        <w:left w:val="none" w:sz="0" w:space="0" w:color="auto"/>
                                        <w:bottom w:val="single" w:sz="6" w:space="31" w:color="ECECED"/>
                                        <w:right w:val="none" w:sz="0" w:space="0" w:color="auto"/>
                                      </w:divBdr>
                                      <w:divsChild>
                                        <w:div w:id="793794412">
                                          <w:marLeft w:val="0"/>
                                          <w:marRight w:val="0"/>
                                          <w:marTop w:val="180"/>
                                          <w:marBottom w:val="0"/>
                                          <w:divBdr>
                                            <w:top w:val="none" w:sz="0" w:space="0" w:color="auto"/>
                                            <w:left w:val="none" w:sz="0" w:space="0" w:color="auto"/>
                                            <w:bottom w:val="none" w:sz="0" w:space="0" w:color="auto"/>
                                            <w:right w:val="none" w:sz="0" w:space="0" w:color="auto"/>
                                          </w:divBdr>
                                          <w:divsChild>
                                            <w:div w:id="1019313589">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598216449">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 w:id="121577082">
                          <w:marLeft w:val="0"/>
                          <w:marRight w:val="0"/>
                          <w:marTop w:val="0"/>
                          <w:marBottom w:val="0"/>
                          <w:divBdr>
                            <w:top w:val="single" w:sz="6" w:space="0" w:color="ECECED"/>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3185-E3D3-4699-8B7C-F32BC9E9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Рекомендации Совета ФПА РФ об обеспечении</vt:lpstr>
      <vt:lpstr>непрерывности защиты по назначению</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2019-12-16T05:38:00Z</cp:lastPrinted>
  <dcterms:created xsi:type="dcterms:W3CDTF">2019-12-17T08:56:00Z</dcterms:created>
  <dcterms:modified xsi:type="dcterms:W3CDTF">2019-12-17T08:56:00Z</dcterms:modified>
</cp:coreProperties>
</file>